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1131F" w14:textId="52450E65" w:rsidR="00C56632" w:rsidRDefault="00C56632" w:rsidP="00C56632">
      <w:r>
        <w:rPr>
          <w:noProof/>
        </w:rPr>
        <w:drawing>
          <wp:inline distT="0" distB="0" distL="0" distR="0" wp14:anchorId="259FE40B" wp14:editId="15B4C061">
            <wp:extent cx="1337310" cy="758825"/>
            <wp:effectExtent l="0" t="0" r="0" b="3175"/>
            <wp:docPr id="166216290" name="Picture 1" descr="TOC Events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C Events Europ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7310" cy="758825"/>
                    </a:xfrm>
                    <a:prstGeom prst="rect">
                      <a:avLst/>
                    </a:prstGeom>
                    <a:noFill/>
                    <a:ln>
                      <a:noFill/>
                    </a:ln>
                  </pic:spPr>
                </pic:pic>
              </a:graphicData>
            </a:graphic>
          </wp:inline>
        </w:drawing>
      </w:r>
    </w:p>
    <w:p w14:paraId="4088CB45" w14:textId="77777777" w:rsidR="00C56632" w:rsidRDefault="00C56632" w:rsidP="00C56632"/>
    <w:p w14:paraId="2A77FC58" w14:textId="77777777" w:rsidR="00C56632" w:rsidRPr="00C56632" w:rsidRDefault="00C56632" w:rsidP="00C56632">
      <w:pPr>
        <w:rPr>
          <w:b/>
          <w:bCs/>
        </w:rPr>
      </w:pPr>
      <w:r w:rsidRPr="00C56632">
        <w:rPr>
          <w:b/>
          <w:bCs/>
        </w:rPr>
        <w:t>TOC Europe 2026: Shaping the Future of Global Port and Container Logistics Amidst Trade Disruptions</w:t>
      </w:r>
    </w:p>
    <w:p w14:paraId="42FACC2F" w14:textId="77777777" w:rsidR="00C56632" w:rsidRDefault="00C56632" w:rsidP="00C56632"/>
    <w:p w14:paraId="497DC583" w14:textId="45D460C4" w:rsidR="00C56632" w:rsidRPr="00C56632" w:rsidRDefault="00C56632" w:rsidP="00C56632">
      <w:hyperlink r:id="rId7" w:history="1">
        <w:r w:rsidRPr="00C56632">
          <w:rPr>
            <w:rStyle w:val="Hyperlink"/>
            <w:b/>
            <w:bCs/>
          </w:rPr>
          <w:t>TOC Europe 2026</w:t>
        </w:r>
      </w:hyperlink>
      <w:r w:rsidRPr="00C56632">
        <w:t xml:space="preserve"> is the AGM for the global port &amp; container supply chain community, uniting over 4,500 participants from 100+ countries in Hamburg from May 19–21, 2026. Hosted at Hamburg Messe und Congress, this international event serves as a critical forum for addressing challenges in global trade amidst ongoing disruptions.</w:t>
      </w:r>
    </w:p>
    <w:p w14:paraId="790F090E" w14:textId="77777777" w:rsidR="00C56632" w:rsidRPr="00C56632" w:rsidRDefault="00C56632" w:rsidP="00C56632">
      <w:r w:rsidRPr="00C56632">
        <w:t>The event takes place against a backdrop of significant tensions affecting global trade, including the lingering effects of the Covid-19 pandemic, the 2021 Suez Canal blockage, attacks in the Red Sea, and the current instability in the Persian Gulf. These incidents have caused severe disruptions to strategic shipping routes, damaged container ships, and impacted port operations, highlighting the urgent need to enhance the resilience of logistics chains.</w:t>
      </w:r>
    </w:p>
    <w:p w14:paraId="50DB4F74" w14:textId="77777777" w:rsidR="00C56632" w:rsidRPr="00C56632" w:rsidRDefault="00C56632" w:rsidP="00C56632">
      <w:r w:rsidRPr="00C56632">
        <w:t>The program features the CSC Live (Container Supply Chain) conference, which will focus on sustainability, resilience, and innovation in logistics. Key sessions will address trade forecasts for 2026–2027, maritime supply strategies, and supply chain management. Day two will emphasise strategic and sustainable growth, exploring topics such as port expansion, service diversification, and cleaner shipping routes. The final day will highlight investment in innovation and logistics technologies, including digital tools to improve operational efficiency and visibility.</w:t>
      </w:r>
    </w:p>
    <w:p w14:paraId="0883E83D" w14:textId="77777777" w:rsidR="00C56632" w:rsidRPr="00C56632" w:rsidRDefault="00C56632" w:rsidP="00C56632">
      <w:r w:rsidRPr="00C56632">
        <w:t>In parallel, the TECH TOC agenda will bring together technical and operational professionals to examine the impact of automation and digitalisation on terminal operations. Alongside this, the exhibition will showcase over 200 companies presenting the latest innovations in port technology, equipment, and solutions related to port operations and logistics chains.</w:t>
      </w:r>
    </w:p>
    <w:p w14:paraId="4771307F" w14:textId="77777777" w:rsidR="00C56632" w:rsidRPr="00C56632" w:rsidRDefault="00C56632" w:rsidP="00C56632">
      <w:r w:rsidRPr="00C56632">
        <w:t>Safety in port operations will be a key focus through the Safety Village, where advances in risk management will be highlighted. In collaboration with TT Club and ICHCA International, TOC Safety Village brings safety innovators and industry experts to promote the standards and best practices in cargo handling.</w:t>
      </w:r>
    </w:p>
    <w:p w14:paraId="5C5E44C9" w14:textId="77777777" w:rsidR="00C56632" w:rsidRPr="00C56632" w:rsidRDefault="00C56632" w:rsidP="00C56632">
      <w:hyperlink r:id="rId8" w:history="1">
        <w:r w:rsidRPr="00C56632">
          <w:rPr>
            <w:rStyle w:val="Hyperlink"/>
            <w:b/>
            <w:bCs/>
          </w:rPr>
          <w:t>TOC Europe</w:t>
        </w:r>
      </w:hyperlink>
      <w:r w:rsidRPr="00C56632">
        <w:t xml:space="preserve"> is part of a global series of events organised by TOC Worldwide. In 2026, the calendar also includes TOC Americas in Cartagena, Colombia, from October 20–22, and TOC Asia in Singapore on November 10–11. These events address regional </w:t>
      </w:r>
      <w:r w:rsidRPr="00C56632">
        <w:lastRenderedPageBreak/>
        <w:t>challenges in container trade, further strengthening the global dialogue on logistics and supply chain resilience.</w:t>
      </w:r>
    </w:p>
    <w:p w14:paraId="78E31BCA" w14:textId="2983BE9A" w:rsidR="00C56632" w:rsidRDefault="00C56632">
      <w:r>
        <w:t>----------------</w:t>
      </w:r>
    </w:p>
    <w:p w14:paraId="627298E7" w14:textId="1EC741DD" w:rsidR="00A06093" w:rsidRPr="00C56632" w:rsidRDefault="00C56632">
      <w:pPr>
        <w:rPr>
          <w:b/>
          <w:bCs/>
        </w:rPr>
      </w:pPr>
      <w:r w:rsidRPr="00C56632">
        <w:rPr>
          <w:b/>
          <w:bCs/>
        </w:rPr>
        <w:t xml:space="preserve">About </w:t>
      </w:r>
      <w:r w:rsidRPr="00C56632">
        <w:rPr>
          <w:b/>
          <w:bCs/>
        </w:rPr>
        <w:t>Informa Markets</w:t>
      </w:r>
    </w:p>
    <w:p w14:paraId="654B0F2C" w14:textId="66740F46" w:rsidR="00C56632" w:rsidRPr="00C56632" w:rsidRDefault="00C56632" w:rsidP="00C56632">
      <w:pPr>
        <w:rPr>
          <w:b/>
          <w:bCs/>
        </w:rPr>
      </w:pPr>
      <w:r w:rsidRPr="00C56632">
        <w:t>TOC Europe</w:t>
      </w:r>
      <w:r>
        <w:t xml:space="preserve"> </w:t>
      </w:r>
      <w:r>
        <w:t>is organised by Informa Markets, a division of Informa plc. Informa Markets</w:t>
      </w:r>
      <w:r>
        <w:t xml:space="preserve"> </w:t>
      </w:r>
      <w:r>
        <w:t>creates platforms for industries and specialist markets to trade, innovate and grow. Our portfolio is</w:t>
      </w:r>
      <w:r>
        <w:t xml:space="preserve"> </w:t>
      </w:r>
      <w:r>
        <w:t>comprised of more than 550 international B2B events and brands in markets including Healthcare &amp;</w:t>
      </w:r>
      <w:r>
        <w:t xml:space="preserve"> </w:t>
      </w:r>
      <w:r>
        <w:t>Pharmaceuticals, Infrastructure, Construction &amp; Real Estate, Fashion &amp; Apparel, Hospitality, Food &amp;</w:t>
      </w:r>
      <w:r>
        <w:t xml:space="preserve"> </w:t>
      </w:r>
      <w:r>
        <w:t>Beverage, and Health &amp; Nutrition, among others. We provide customers and partners around the globe</w:t>
      </w:r>
      <w:r>
        <w:t xml:space="preserve"> </w:t>
      </w:r>
      <w:r>
        <w:t>with opportunities to engage, experience and do business through face-to-face exhibitions, specialist</w:t>
      </w:r>
      <w:r>
        <w:t xml:space="preserve"> </w:t>
      </w:r>
      <w:r>
        <w:t>digital content and actionable data solutions. As the world’s leading exhibitions organiser, we bring a</w:t>
      </w:r>
      <w:r>
        <w:t xml:space="preserve"> </w:t>
      </w:r>
      <w:r>
        <w:t>diverse range of specialist markets to life, unlocking opportunities and helping them to thrive 365 days of</w:t>
      </w:r>
      <w:r>
        <w:t xml:space="preserve"> </w:t>
      </w:r>
      <w:r>
        <w:t>the year. For more information, please visit www.informamarkets.com.</w:t>
      </w:r>
    </w:p>
    <w:p w14:paraId="2DD845C4" w14:textId="77777777" w:rsidR="00C56632" w:rsidRDefault="00C56632" w:rsidP="00C56632"/>
    <w:sectPr w:rsidR="00C56632">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8DCE4" w14:textId="77777777" w:rsidR="000A7E7B" w:rsidRDefault="000A7E7B" w:rsidP="00C56632">
      <w:pPr>
        <w:spacing w:after="0" w:line="240" w:lineRule="auto"/>
      </w:pPr>
      <w:r>
        <w:separator/>
      </w:r>
    </w:p>
  </w:endnote>
  <w:endnote w:type="continuationSeparator" w:id="0">
    <w:p w14:paraId="2D97B056" w14:textId="77777777" w:rsidR="000A7E7B" w:rsidRDefault="000A7E7B" w:rsidP="00C5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03B" w14:textId="68F217A5" w:rsidR="00C56632" w:rsidRDefault="00C56632">
    <w:pPr>
      <w:pStyle w:val="Footer"/>
    </w:pPr>
    <w:r>
      <w:rPr>
        <w:noProof/>
      </w:rPr>
      <mc:AlternateContent>
        <mc:Choice Requires="wps">
          <w:drawing>
            <wp:anchor distT="0" distB="0" distL="0" distR="0" simplePos="0" relativeHeight="251659264" behindDoc="0" locked="0" layoutInCell="1" allowOverlap="1" wp14:anchorId="2A81F1EE" wp14:editId="4EC2AD20">
              <wp:simplePos x="635" y="635"/>
              <wp:positionH relativeFrom="page">
                <wp:align>left</wp:align>
              </wp:positionH>
              <wp:positionV relativeFrom="page">
                <wp:align>bottom</wp:align>
              </wp:positionV>
              <wp:extent cx="2085975" cy="346075"/>
              <wp:effectExtent l="0" t="0" r="9525" b="0"/>
              <wp:wrapNone/>
              <wp:docPr id="1793509914"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66A04E05" w14:textId="2EDE0D7A" w:rsidR="00C56632" w:rsidRPr="00C56632" w:rsidRDefault="00C56632" w:rsidP="00C56632">
                          <w:pPr>
                            <w:spacing w:after="0"/>
                            <w:rPr>
                              <w:rFonts w:ascii="Rockwell" w:eastAsia="Rockwell" w:hAnsi="Rockwell" w:cs="Rockwell"/>
                              <w:noProof/>
                              <w:color w:val="0078D7"/>
                              <w:sz w:val="18"/>
                              <w:szCs w:val="18"/>
                            </w:rPr>
                          </w:pPr>
                          <w:r w:rsidRPr="00C56632">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81F1EE" id="_x0000_t202" coordsize="21600,21600" o:spt="202" path="m,l,21600r21600,l21600,xe">
              <v:stroke joinstyle="miter"/>
              <v:path gradientshapeok="t" o:connecttype="rect"/>
            </v:shapetype>
            <v:shape id="Text Box 3" o:spid="_x0000_s1026" type="#_x0000_t202" alt="Information Classification: General" style="position:absolute;margin-left:0;margin-top:0;width:164.25pt;height:27.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mxDwIAABs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" filled="f" stroked="f">
              <v:fill o:detectmouseclick="t"/>
              <v:textbox style="mso-fit-shape-to-text:t" inset="20pt,0,0,15pt">
                <w:txbxContent>
                  <w:p w14:paraId="66A04E05" w14:textId="2EDE0D7A" w:rsidR="00C56632" w:rsidRPr="00C56632" w:rsidRDefault="00C56632" w:rsidP="00C56632">
                    <w:pPr>
                      <w:spacing w:after="0"/>
                      <w:rPr>
                        <w:rFonts w:ascii="Rockwell" w:eastAsia="Rockwell" w:hAnsi="Rockwell" w:cs="Rockwell"/>
                        <w:noProof/>
                        <w:color w:val="0078D7"/>
                        <w:sz w:val="18"/>
                        <w:szCs w:val="18"/>
                      </w:rPr>
                    </w:pPr>
                    <w:r w:rsidRPr="00C56632">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81367" w14:textId="33A9809E" w:rsidR="00C56632" w:rsidRDefault="00C56632">
    <w:pPr>
      <w:pStyle w:val="Footer"/>
    </w:pPr>
    <w:r>
      <w:rPr>
        <w:noProof/>
      </w:rPr>
      <mc:AlternateContent>
        <mc:Choice Requires="wps">
          <w:drawing>
            <wp:anchor distT="0" distB="0" distL="0" distR="0" simplePos="0" relativeHeight="251660288" behindDoc="0" locked="0" layoutInCell="1" allowOverlap="1" wp14:anchorId="08B7FEED" wp14:editId="06F1922E">
              <wp:simplePos x="914400" y="10058400"/>
              <wp:positionH relativeFrom="page">
                <wp:align>left</wp:align>
              </wp:positionH>
              <wp:positionV relativeFrom="page">
                <wp:align>bottom</wp:align>
              </wp:positionV>
              <wp:extent cx="2085975" cy="346075"/>
              <wp:effectExtent l="0" t="0" r="9525" b="0"/>
              <wp:wrapNone/>
              <wp:docPr id="88821550" name="Text Box 4"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2C9D4149" w14:textId="27DE608B" w:rsidR="00C56632" w:rsidRPr="00C56632" w:rsidRDefault="00C56632" w:rsidP="00C56632">
                          <w:pPr>
                            <w:spacing w:after="0"/>
                            <w:rPr>
                              <w:rFonts w:ascii="Rockwell" w:eastAsia="Rockwell" w:hAnsi="Rockwell" w:cs="Rockwell"/>
                              <w:noProof/>
                              <w:color w:val="0078D7"/>
                              <w:sz w:val="18"/>
                              <w:szCs w:val="18"/>
                            </w:rPr>
                          </w:pPr>
                          <w:r w:rsidRPr="00C56632">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B7FEED" id="_x0000_t202" coordsize="21600,21600" o:spt="202" path="m,l,21600r21600,l21600,xe">
              <v:stroke joinstyle="miter"/>
              <v:path gradientshapeok="t" o:connecttype="rect"/>
            </v:shapetype>
            <v:shape id="Text Box 4" o:spid="_x0000_s1027" type="#_x0000_t202" alt="Information Classification: General" style="position:absolute;margin-left:0;margin-top:0;width:164.25pt;height:27.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bWEgIAACI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" filled="f" stroked="f">
              <v:fill o:detectmouseclick="t"/>
              <v:textbox style="mso-fit-shape-to-text:t" inset="20pt,0,0,15pt">
                <w:txbxContent>
                  <w:p w14:paraId="2C9D4149" w14:textId="27DE608B" w:rsidR="00C56632" w:rsidRPr="00C56632" w:rsidRDefault="00C56632" w:rsidP="00C56632">
                    <w:pPr>
                      <w:spacing w:after="0"/>
                      <w:rPr>
                        <w:rFonts w:ascii="Rockwell" w:eastAsia="Rockwell" w:hAnsi="Rockwell" w:cs="Rockwell"/>
                        <w:noProof/>
                        <w:color w:val="0078D7"/>
                        <w:sz w:val="18"/>
                        <w:szCs w:val="18"/>
                      </w:rPr>
                    </w:pPr>
                    <w:r w:rsidRPr="00C56632">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0BD1" w14:textId="1DE41254" w:rsidR="00C56632" w:rsidRDefault="00C56632">
    <w:pPr>
      <w:pStyle w:val="Footer"/>
    </w:pPr>
    <w:r>
      <w:rPr>
        <w:noProof/>
      </w:rPr>
      <mc:AlternateContent>
        <mc:Choice Requires="wps">
          <w:drawing>
            <wp:anchor distT="0" distB="0" distL="0" distR="0" simplePos="0" relativeHeight="251658240" behindDoc="0" locked="0" layoutInCell="1" allowOverlap="1" wp14:anchorId="519FD5F0" wp14:editId="44820F19">
              <wp:simplePos x="635" y="635"/>
              <wp:positionH relativeFrom="page">
                <wp:align>left</wp:align>
              </wp:positionH>
              <wp:positionV relativeFrom="page">
                <wp:align>bottom</wp:align>
              </wp:positionV>
              <wp:extent cx="2085975" cy="346075"/>
              <wp:effectExtent l="0" t="0" r="9525" b="0"/>
              <wp:wrapNone/>
              <wp:docPr id="153487252"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4404F4E8" w14:textId="0D345288" w:rsidR="00C56632" w:rsidRPr="00C56632" w:rsidRDefault="00C56632" w:rsidP="00C56632">
                          <w:pPr>
                            <w:spacing w:after="0"/>
                            <w:rPr>
                              <w:rFonts w:ascii="Rockwell" w:eastAsia="Rockwell" w:hAnsi="Rockwell" w:cs="Rockwell"/>
                              <w:noProof/>
                              <w:color w:val="0078D7"/>
                              <w:sz w:val="18"/>
                              <w:szCs w:val="18"/>
                            </w:rPr>
                          </w:pPr>
                          <w:r w:rsidRPr="00C56632">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9FD5F0" id="_x0000_t202" coordsize="21600,21600" o:spt="202" path="m,l,21600r21600,l21600,xe">
              <v:stroke joinstyle="miter"/>
              <v:path gradientshapeok="t" o:connecttype="rect"/>
            </v:shapetype>
            <v:shape id="Text Box 2" o:spid="_x0000_s1028" type="#_x0000_t202" alt="Information Classification: General" style="position:absolute;margin-left:0;margin-top:0;width:164.25pt;height:27.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" filled="f" stroked="f">
              <v:fill o:detectmouseclick="t"/>
              <v:textbox style="mso-fit-shape-to-text:t" inset="20pt,0,0,15pt">
                <w:txbxContent>
                  <w:p w14:paraId="4404F4E8" w14:textId="0D345288" w:rsidR="00C56632" w:rsidRPr="00C56632" w:rsidRDefault="00C56632" w:rsidP="00C56632">
                    <w:pPr>
                      <w:spacing w:after="0"/>
                      <w:rPr>
                        <w:rFonts w:ascii="Rockwell" w:eastAsia="Rockwell" w:hAnsi="Rockwell" w:cs="Rockwell"/>
                        <w:noProof/>
                        <w:color w:val="0078D7"/>
                        <w:sz w:val="18"/>
                        <w:szCs w:val="18"/>
                      </w:rPr>
                    </w:pPr>
                    <w:r w:rsidRPr="00C56632">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CEF6" w14:textId="77777777" w:rsidR="000A7E7B" w:rsidRDefault="000A7E7B" w:rsidP="00C56632">
      <w:pPr>
        <w:spacing w:after="0" w:line="240" w:lineRule="auto"/>
      </w:pPr>
      <w:r>
        <w:separator/>
      </w:r>
    </w:p>
  </w:footnote>
  <w:footnote w:type="continuationSeparator" w:id="0">
    <w:p w14:paraId="010C362B" w14:textId="77777777" w:rsidR="000A7E7B" w:rsidRDefault="000A7E7B" w:rsidP="00C566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632"/>
    <w:rsid w:val="000A7E7B"/>
    <w:rsid w:val="004F4339"/>
    <w:rsid w:val="00A06093"/>
    <w:rsid w:val="00C56632"/>
    <w:rsid w:val="00C75F76"/>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BE81"/>
  <w15:chartTrackingRefBased/>
  <w15:docId w15:val="{9E4C05F8-322C-46F0-87B4-008863E4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632"/>
    <w:rPr>
      <w:rFonts w:eastAsiaTheme="majorEastAsia" w:cstheme="majorBidi"/>
      <w:color w:val="272727" w:themeColor="text1" w:themeTint="D8"/>
    </w:rPr>
  </w:style>
  <w:style w:type="paragraph" w:styleId="Title">
    <w:name w:val="Title"/>
    <w:basedOn w:val="Normal"/>
    <w:next w:val="Normal"/>
    <w:link w:val="TitleChar"/>
    <w:uiPriority w:val="10"/>
    <w:qFormat/>
    <w:rsid w:val="00C56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632"/>
    <w:pPr>
      <w:spacing w:before="160"/>
      <w:jc w:val="center"/>
    </w:pPr>
    <w:rPr>
      <w:i/>
      <w:iCs/>
      <w:color w:val="404040" w:themeColor="text1" w:themeTint="BF"/>
    </w:rPr>
  </w:style>
  <w:style w:type="character" w:customStyle="1" w:styleId="QuoteChar">
    <w:name w:val="Quote Char"/>
    <w:basedOn w:val="DefaultParagraphFont"/>
    <w:link w:val="Quote"/>
    <w:uiPriority w:val="29"/>
    <w:rsid w:val="00C56632"/>
    <w:rPr>
      <w:i/>
      <w:iCs/>
      <w:color w:val="404040" w:themeColor="text1" w:themeTint="BF"/>
    </w:rPr>
  </w:style>
  <w:style w:type="paragraph" w:styleId="ListParagraph">
    <w:name w:val="List Paragraph"/>
    <w:basedOn w:val="Normal"/>
    <w:uiPriority w:val="34"/>
    <w:qFormat/>
    <w:rsid w:val="00C56632"/>
    <w:pPr>
      <w:ind w:left="720"/>
      <w:contextualSpacing/>
    </w:pPr>
  </w:style>
  <w:style w:type="character" w:styleId="IntenseEmphasis">
    <w:name w:val="Intense Emphasis"/>
    <w:basedOn w:val="DefaultParagraphFont"/>
    <w:uiPriority w:val="21"/>
    <w:qFormat/>
    <w:rsid w:val="00C56632"/>
    <w:rPr>
      <w:i/>
      <w:iCs/>
      <w:color w:val="0F4761" w:themeColor="accent1" w:themeShade="BF"/>
    </w:rPr>
  </w:style>
  <w:style w:type="paragraph" w:styleId="IntenseQuote">
    <w:name w:val="Intense Quote"/>
    <w:basedOn w:val="Normal"/>
    <w:next w:val="Normal"/>
    <w:link w:val="IntenseQuoteChar"/>
    <w:uiPriority w:val="30"/>
    <w:qFormat/>
    <w:rsid w:val="00C56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632"/>
    <w:rPr>
      <w:i/>
      <w:iCs/>
      <w:color w:val="0F4761" w:themeColor="accent1" w:themeShade="BF"/>
    </w:rPr>
  </w:style>
  <w:style w:type="character" w:styleId="IntenseReference">
    <w:name w:val="Intense Reference"/>
    <w:basedOn w:val="DefaultParagraphFont"/>
    <w:uiPriority w:val="32"/>
    <w:qFormat/>
    <w:rsid w:val="00C56632"/>
    <w:rPr>
      <w:b/>
      <w:bCs/>
      <w:smallCaps/>
      <w:color w:val="0F4761" w:themeColor="accent1" w:themeShade="BF"/>
      <w:spacing w:val="5"/>
    </w:rPr>
  </w:style>
  <w:style w:type="character" w:styleId="Hyperlink">
    <w:name w:val="Hyperlink"/>
    <w:basedOn w:val="DefaultParagraphFont"/>
    <w:uiPriority w:val="99"/>
    <w:unhideWhenUsed/>
    <w:rsid w:val="00C56632"/>
    <w:rPr>
      <w:color w:val="467886" w:themeColor="hyperlink"/>
      <w:u w:val="single"/>
    </w:rPr>
  </w:style>
  <w:style w:type="character" w:styleId="UnresolvedMention">
    <w:name w:val="Unresolved Mention"/>
    <w:basedOn w:val="DefaultParagraphFont"/>
    <w:uiPriority w:val="99"/>
    <w:semiHidden/>
    <w:unhideWhenUsed/>
    <w:rsid w:val="00C56632"/>
    <w:rPr>
      <w:color w:val="605E5C"/>
      <w:shd w:val="clear" w:color="auto" w:fill="E1DFDD"/>
    </w:rPr>
  </w:style>
  <w:style w:type="paragraph" w:styleId="Footer">
    <w:name w:val="footer"/>
    <w:basedOn w:val="Normal"/>
    <w:link w:val="FooterChar"/>
    <w:uiPriority w:val="99"/>
    <w:unhideWhenUsed/>
    <w:rsid w:val="00C56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cevents-europe.com/lp/medi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ocevents-europe.com/lp/media/"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EC951401FA44EB26AF84CE0A0829B" ma:contentTypeVersion="14" ma:contentTypeDescription="Create a new document." ma:contentTypeScope="" ma:versionID="25592e29bcb1ffac7c22e9f30c7def21">
  <xsd:schema xmlns:xsd="http://www.w3.org/2001/XMLSchema" xmlns:xs="http://www.w3.org/2001/XMLSchema" xmlns:p="http://schemas.microsoft.com/office/2006/metadata/properties" xmlns:ns2="222dca00-3b33-4a2f-8655-166c658c7574" xmlns:ns3="8c4313f9-0178-4225-b754-f789a7c08a8d" targetNamespace="http://schemas.microsoft.com/office/2006/metadata/properties" ma:root="true" ma:fieldsID="c1dd40a87c3918f22977453f7e213904" ns2:_="" ns3:_="">
    <xsd:import namespace="222dca00-3b33-4a2f-8655-166c658c7574"/>
    <xsd:import namespace="8c4313f9-0178-4225-b754-f789a7c08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dca00-3b33-4a2f-8655-166c658c7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4313f9-0178-4225-b754-f789a7c08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ac1eea-59fc-4a0a-8c50-c9f945443f91}" ma:internalName="TaxCatchAll" ma:showField="CatchAllData" ma:web="8c4313f9-0178-4225-b754-f789a7c08a8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4313f9-0178-4225-b754-f789a7c08a8d" xsi:nil="true"/>
    <lcf76f155ced4ddcb4097134ff3c332f xmlns="222dca00-3b33-4a2f-8655-166c658c75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6C8A41-84F8-4D46-AD12-8A788680B266}"/>
</file>

<file path=customXml/itemProps2.xml><?xml version="1.0" encoding="utf-8"?>
<ds:datastoreItem xmlns:ds="http://schemas.openxmlformats.org/officeDocument/2006/customXml" ds:itemID="{5C3262D1-DDDC-4685-8966-CC67BAB0DD69}"/>
</file>

<file path=customXml/itemProps3.xml><?xml version="1.0" encoding="utf-8"?>
<ds:datastoreItem xmlns:ds="http://schemas.openxmlformats.org/officeDocument/2006/customXml" ds:itemID="{5875CFBC-16D4-4427-B2BA-76680C327CDB}"/>
</file>

<file path=docProps/app.xml><?xml version="1.0" encoding="utf-8"?>
<Properties xmlns="http://schemas.openxmlformats.org/officeDocument/2006/extended-properties" xmlns:vt="http://schemas.openxmlformats.org/officeDocument/2006/docPropsVTypes">
  <Template>Normal.dotm</Template>
  <TotalTime>6</TotalTime>
  <Pages>2</Pages>
  <Words>525</Words>
  <Characters>2994</Characters>
  <Application>Microsoft Office Word</Application>
  <DocSecurity>0</DocSecurity>
  <Lines>24</Lines>
  <Paragraphs>7</Paragraphs>
  <ScaleCrop>false</ScaleCrop>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Severdiajeva, Antanina</dc:creator>
  <cp:keywords/>
  <dc:description/>
  <cp:lastModifiedBy>Severdiajeva, Antanina</cp:lastModifiedBy>
  <cp:revision>1</cp:revision>
  <dcterms:created xsi:type="dcterms:W3CDTF">2026-09-30T06:06:00Z</dcterms:created>
  <dcterms:modified xsi:type="dcterms:W3CDTF">2026-09-30T06:12:00Z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9260794,6ae6ca1a,54b4f2e</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2026-09-30T06:12:17Z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7a38488d-579d-4b49-892d-2fb4f97aa55a</vt:lpwstr>
  </property>
  <property fmtid="{D5CDD505-2E9C-101B-9397-08002B2CF9AE}" pid="11" name="MSIP_Label_2bbab825-a111-45e4-86a1-18cee0005896_ContentBits">
    <vt:lpwstr>2</vt:lpwstr>
  </property>
  <property fmtid="{D5CDD505-2E9C-101B-9397-08002B2CF9AE}" pid="12" name="MSIP_Label_2bbab825-a111-45e4-86a1-18cee0005896_Tag">
    <vt:lpwstr>10, 3, 0, 1</vt:lpwstr>
  </property>
  <property fmtid="{D5CDD505-2E9C-101B-9397-08002B2CF9AE}" pid="13" name="ContentTypeId">
    <vt:lpwstr>0x010100DADEC951401FA44EB26AF84CE0A0829B</vt:lpwstr>
  </property>
</Properties>
</file>